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B5" w:rsidRPr="000D1974" w:rsidRDefault="00C96C8E" w:rsidP="00EF129E">
      <w:pPr>
        <w:spacing w:line="240" w:lineRule="auto"/>
        <w:jc w:val="center"/>
        <w:rPr>
          <w:rFonts w:ascii="Arial" w:hAnsi="Arial" w:cs="Arial"/>
          <w:b/>
          <w:lang w:val="hr-HR"/>
        </w:rPr>
      </w:pPr>
      <w:r w:rsidRPr="000D1974">
        <w:rPr>
          <w:rFonts w:ascii="Arial" w:hAnsi="Arial" w:cs="Arial"/>
          <w:b/>
          <w:lang w:val="hr-HR"/>
        </w:rPr>
        <w:t>O B R A Z L O Ž E NJ E</w:t>
      </w:r>
    </w:p>
    <w:p w:rsidR="00C96C8E" w:rsidRPr="000D1974" w:rsidRDefault="00EF129E" w:rsidP="00EF129E">
      <w:pPr>
        <w:spacing w:line="240" w:lineRule="auto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</w:t>
      </w:r>
      <w:r w:rsidR="00C96C8E" w:rsidRPr="000D1974">
        <w:rPr>
          <w:rFonts w:ascii="Arial" w:hAnsi="Arial" w:cs="Arial"/>
          <w:b/>
          <w:lang w:val="hr-HR"/>
        </w:rPr>
        <w:t xml:space="preserve">rijedloga </w:t>
      </w:r>
      <w:r w:rsidR="00EA4813" w:rsidRPr="000D1974">
        <w:rPr>
          <w:rFonts w:ascii="Arial" w:hAnsi="Arial" w:cs="Arial"/>
          <w:b/>
          <w:lang w:val="hr-HR"/>
        </w:rPr>
        <w:t>O</w:t>
      </w:r>
      <w:r w:rsidR="00C96C8E" w:rsidRPr="000D1974">
        <w:rPr>
          <w:rFonts w:ascii="Arial" w:hAnsi="Arial" w:cs="Arial"/>
          <w:b/>
          <w:lang w:val="hr-HR"/>
        </w:rPr>
        <w:t xml:space="preserve">dluke o </w:t>
      </w:r>
      <w:r w:rsidR="00170341" w:rsidRPr="000D1974">
        <w:rPr>
          <w:rFonts w:ascii="Arial" w:hAnsi="Arial" w:cs="Arial"/>
          <w:b/>
          <w:lang w:val="hr-HR"/>
        </w:rPr>
        <w:t>visini turističke pristojbe za brodove na kružnom putovanju u međunarodnom pomorskom prometu kada se brod nalazi na vezu u luci ili sidrištu luke na području Grada Zadra</w:t>
      </w:r>
      <w:r w:rsidR="00CF121C" w:rsidRPr="000D1974">
        <w:rPr>
          <w:rFonts w:ascii="Arial" w:hAnsi="Arial" w:cs="Arial"/>
          <w:b/>
          <w:lang w:val="hr-HR"/>
        </w:rPr>
        <w:t xml:space="preserve"> za 202</w:t>
      </w:r>
      <w:r w:rsidR="00947BE4">
        <w:rPr>
          <w:rFonts w:ascii="Arial" w:hAnsi="Arial" w:cs="Arial"/>
          <w:b/>
          <w:lang w:val="hr-HR"/>
        </w:rPr>
        <w:t>4</w:t>
      </w:r>
      <w:r w:rsidR="00CF121C" w:rsidRPr="000D1974">
        <w:rPr>
          <w:rFonts w:ascii="Arial" w:hAnsi="Arial" w:cs="Arial"/>
          <w:b/>
          <w:lang w:val="hr-HR"/>
        </w:rPr>
        <w:t>. godinu</w:t>
      </w:r>
    </w:p>
    <w:p w:rsidR="001429A0" w:rsidRPr="00EF129E" w:rsidRDefault="00C96C8E" w:rsidP="002504D1">
      <w:pPr>
        <w:spacing w:line="240" w:lineRule="auto"/>
        <w:jc w:val="both"/>
        <w:rPr>
          <w:rFonts w:ascii="Arial" w:hAnsi="Arial" w:cs="Arial"/>
          <w:lang w:val="hr-HR"/>
        </w:rPr>
      </w:pPr>
      <w:r w:rsidRPr="000D1974">
        <w:rPr>
          <w:rFonts w:ascii="Arial" w:hAnsi="Arial" w:cs="Arial"/>
          <w:lang w:val="hr-HR"/>
        </w:rPr>
        <w:t xml:space="preserve">Člankom </w:t>
      </w:r>
      <w:r w:rsidR="00C82875" w:rsidRPr="000D1974">
        <w:rPr>
          <w:rFonts w:ascii="Arial" w:hAnsi="Arial" w:cs="Arial"/>
          <w:lang w:val="hr-HR"/>
        </w:rPr>
        <w:t xml:space="preserve">11. Zakona o turističkoj pristojbi </w:t>
      </w:r>
      <w:r w:rsidR="00C82875" w:rsidRPr="00EF129E">
        <w:rPr>
          <w:rFonts w:ascii="Arial" w:hAnsi="Arial" w:cs="Arial"/>
          <w:i/>
          <w:lang w:val="hr-HR"/>
        </w:rPr>
        <w:t>(„Narodne novine", br. 52/19</w:t>
      </w:r>
      <w:r w:rsidR="00CB47AD" w:rsidRPr="00EF129E">
        <w:rPr>
          <w:rFonts w:ascii="Arial" w:hAnsi="Arial" w:cs="Arial"/>
          <w:i/>
          <w:lang w:val="hr-HR"/>
        </w:rPr>
        <w:t>, 32/20, 42/20</w:t>
      </w:r>
      <w:r w:rsidR="00C82875" w:rsidRPr="00EF129E">
        <w:rPr>
          <w:rFonts w:ascii="Arial" w:hAnsi="Arial" w:cs="Arial"/>
          <w:i/>
          <w:lang w:val="hr-HR"/>
        </w:rPr>
        <w:t>)</w:t>
      </w:r>
      <w:r w:rsidR="00C82875" w:rsidRPr="00EF129E">
        <w:rPr>
          <w:rFonts w:ascii="Arial" w:hAnsi="Arial" w:cs="Arial"/>
          <w:lang w:val="hr-HR"/>
        </w:rPr>
        <w:t xml:space="preserve"> propisano</w:t>
      </w:r>
      <w:r w:rsidR="00E77416" w:rsidRPr="00EF129E">
        <w:rPr>
          <w:rFonts w:ascii="Arial" w:hAnsi="Arial" w:cs="Arial"/>
          <w:lang w:val="hr-HR"/>
        </w:rPr>
        <w:t xml:space="preserve"> je da </w:t>
      </w:r>
      <w:r w:rsidR="00C82875" w:rsidRPr="00EF129E">
        <w:rPr>
          <w:rFonts w:ascii="Arial" w:hAnsi="Arial" w:cs="Arial"/>
          <w:lang w:val="hr-HR"/>
        </w:rPr>
        <w:t>brod na kružnom putovanju u međunarodnom pomorskom prometu i međunarodnom prometu na unutarnjim vodama kada se nalazi na vezu u luci ili sidrištu luke može plaćati turističku pristojbu, a općinsko ili gradsko vijeće donosi Odluku hoće li se predmetna turistička pristojba naplaćivati i u kojem iznosu.</w:t>
      </w:r>
      <w:r w:rsidR="00D77608" w:rsidRPr="00EF129E">
        <w:rPr>
          <w:rFonts w:ascii="Arial" w:hAnsi="Arial" w:cs="Arial"/>
        </w:rPr>
        <w:t xml:space="preserve"> </w:t>
      </w:r>
      <w:r w:rsidR="000D1974" w:rsidRPr="00EF129E">
        <w:rPr>
          <w:rFonts w:ascii="Arial" w:hAnsi="Arial" w:cs="Arial"/>
        </w:rPr>
        <w:t xml:space="preserve">Odluku općinsko ili gradsko vijeće </w:t>
      </w:r>
      <w:r w:rsidR="00155ECB" w:rsidRPr="00EF129E">
        <w:rPr>
          <w:rFonts w:ascii="Arial" w:hAnsi="Arial" w:cs="Arial"/>
        </w:rPr>
        <w:t>donosi</w:t>
      </w:r>
      <w:r w:rsidR="000D1974" w:rsidRPr="00EF129E">
        <w:rPr>
          <w:rFonts w:ascii="Arial" w:hAnsi="Arial" w:cs="Arial"/>
        </w:rPr>
        <w:t xml:space="preserve"> do 31. siječnja tekuće godine za sljedeću godinu. </w:t>
      </w:r>
      <w:r w:rsidR="00D77608" w:rsidRPr="00EF129E">
        <w:rPr>
          <w:rFonts w:ascii="Arial" w:hAnsi="Arial" w:cs="Arial"/>
          <w:lang w:val="hr-HR"/>
        </w:rPr>
        <w:t>Istim je člankom propisano kako je predmetna turistička pristojba prihod proračuna općina i gradova i jedinica područne (regionalne) samouprave</w:t>
      </w:r>
      <w:r w:rsidR="00A24595" w:rsidRPr="00EF129E">
        <w:rPr>
          <w:rFonts w:ascii="Arial" w:hAnsi="Arial" w:cs="Arial"/>
          <w:lang w:val="hr-HR"/>
        </w:rPr>
        <w:t xml:space="preserve"> (županija)</w:t>
      </w:r>
      <w:r w:rsidR="00D77608" w:rsidRPr="00EF129E">
        <w:rPr>
          <w:rFonts w:ascii="Arial" w:hAnsi="Arial" w:cs="Arial"/>
          <w:lang w:val="hr-HR"/>
        </w:rPr>
        <w:t>.</w:t>
      </w:r>
      <w:r w:rsidR="008E0895" w:rsidRPr="00EF129E">
        <w:rPr>
          <w:rFonts w:ascii="Arial" w:hAnsi="Arial" w:cs="Arial"/>
          <w:lang w:val="hr-HR"/>
        </w:rPr>
        <w:t xml:space="preserve"> </w:t>
      </w:r>
      <w:r w:rsidR="001429A0" w:rsidRPr="00EF129E">
        <w:rPr>
          <w:rFonts w:ascii="Arial" w:hAnsi="Arial" w:cs="Arial"/>
          <w:lang w:val="hr-HR"/>
        </w:rPr>
        <w:t>Člankom 21. Zakona propisano je kako se sredstva turističke pristojbe iz članka 11. Zakona raspoređuju 85% općini ili gradu i 15% županiji, a koriste se za poboljšanje javne i turističke infrastrukture i za projekte i programe održivog razvoja.</w:t>
      </w:r>
    </w:p>
    <w:p w:rsidR="000E2211" w:rsidRPr="00EF129E" w:rsidRDefault="00C82875" w:rsidP="002504D1">
      <w:pPr>
        <w:spacing w:line="240" w:lineRule="auto"/>
        <w:jc w:val="both"/>
        <w:rPr>
          <w:rFonts w:ascii="Arial" w:hAnsi="Arial" w:cs="Arial"/>
          <w:lang w:val="hr-HR"/>
        </w:rPr>
      </w:pPr>
      <w:r w:rsidRPr="00EF129E">
        <w:rPr>
          <w:rFonts w:ascii="Arial" w:hAnsi="Arial" w:cs="Arial"/>
          <w:lang w:val="hr-HR"/>
        </w:rPr>
        <w:t>Člankom</w:t>
      </w:r>
      <w:r w:rsidR="000E2211" w:rsidRPr="00EF129E">
        <w:rPr>
          <w:rFonts w:ascii="Arial" w:hAnsi="Arial" w:cs="Arial"/>
          <w:lang w:val="hr-HR"/>
        </w:rPr>
        <w:t xml:space="preserve"> </w:t>
      </w:r>
      <w:r w:rsidRPr="00EF129E">
        <w:rPr>
          <w:rFonts w:ascii="Arial" w:hAnsi="Arial" w:cs="Arial"/>
          <w:lang w:val="hr-HR"/>
        </w:rPr>
        <w:t xml:space="preserve">5. Pravilnika o najnižem i najvišem iznosu turističke pristojbe </w:t>
      </w:r>
      <w:r w:rsidRPr="00EF129E">
        <w:rPr>
          <w:rFonts w:ascii="Arial" w:hAnsi="Arial" w:cs="Arial"/>
          <w:i/>
          <w:lang w:val="hr-HR"/>
        </w:rPr>
        <w:t>(„Narodne novine", br. 71/19)</w:t>
      </w:r>
      <w:r w:rsidRPr="00EF129E">
        <w:rPr>
          <w:rFonts w:ascii="Arial" w:hAnsi="Arial" w:cs="Arial"/>
          <w:lang w:val="hr-HR"/>
        </w:rPr>
        <w:t xml:space="preserve"> propisani</w:t>
      </w:r>
      <w:r w:rsidR="000E2211" w:rsidRPr="00EF129E">
        <w:rPr>
          <w:rFonts w:ascii="Arial" w:hAnsi="Arial" w:cs="Arial"/>
          <w:lang w:val="hr-HR"/>
        </w:rPr>
        <w:t xml:space="preserve"> </w:t>
      </w:r>
      <w:r w:rsidRPr="00EF129E">
        <w:rPr>
          <w:rFonts w:ascii="Arial" w:hAnsi="Arial" w:cs="Arial"/>
          <w:lang w:val="hr-HR"/>
        </w:rPr>
        <w:t>su najviši iznosi turističke pristojbe koju plaćaju brodovi na kružnom putovanju u međunarodnom pomorskom prometu i međunarodnom prometu na unutarnjim vodama kada se brod nalazi na vezu u luci ili sidrištu luke, koje mogu donijeti općinska ili gradska vijeća i to kako slijedi:</w:t>
      </w:r>
    </w:p>
    <w:tbl>
      <w:tblPr>
        <w:tblStyle w:val="Reetkatablice1"/>
        <w:tblpPr w:leftFromText="180" w:rightFromText="180" w:vertAnchor="page" w:horzAnchor="margin" w:tblpXSpec="center" w:tblpY="7051"/>
        <w:tblW w:w="7440" w:type="dxa"/>
        <w:tblLook w:val="04A0" w:firstRow="1" w:lastRow="0" w:firstColumn="1" w:lastColumn="0" w:noHBand="0" w:noVBand="1"/>
      </w:tblPr>
      <w:tblGrid>
        <w:gridCol w:w="3587"/>
        <w:gridCol w:w="3853"/>
      </w:tblGrid>
      <w:tr w:rsidR="008E0895" w:rsidRPr="00EF129E" w:rsidTr="000D1974">
        <w:trPr>
          <w:trHeight w:val="29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Kapacitet putnika po brodu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Najviši iznos turističke pristojbe po brodu (u kunama)</w:t>
            </w:r>
          </w:p>
        </w:tc>
      </w:tr>
      <w:tr w:rsidR="008E0895" w:rsidRPr="00EF129E" w:rsidTr="000D1974">
        <w:trPr>
          <w:trHeight w:val="15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50 - 200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2.000,00</w:t>
            </w:r>
          </w:p>
        </w:tc>
      </w:tr>
      <w:tr w:rsidR="008E0895" w:rsidRPr="00EF129E" w:rsidTr="000D1974">
        <w:trPr>
          <w:trHeight w:val="15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201 - 500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5.000,00</w:t>
            </w:r>
          </w:p>
        </w:tc>
      </w:tr>
      <w:tr w:rsidR="008E0895" w:rsidRPr="00EF129E" w:rsidTr="000D1974">
        <w:trPr>
          <w:trHeight w:val="15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501 - 1000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10.000,00</w:t>
            </w:r>
          </w:p>
        </w:tc>
      </w:tr>
      <w:tr w:rsidR="008E0895" w:rsidRPr="00EF129E" w:rsidTr="000D1974">
        <w:trPr>
          <w:trHeight w:val="15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1001 - 2000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20.000,00</w:t>
            </w:r>
          </w:p>
        </w:tc>
      </w:tr>
      <w:tr w:rsidR="008E0895" w:rsidRPr="00EF129E" w:rsidTr="000D1974">
        <w:trPr>
          <w:trHeight w:val="15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2001 - 3000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30.000,00</w:t>
            </w:r>
          </w:p>
        </w:tc>
      </w:tr>
      <w:tr w:rsidR="008E0895" w:rsidRPr="00EF129E" w:rsidTr="000D1974">
        <w:trPr>
          <w:trHeight w:val="15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3001 – i više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95" w:rsidRPr="00EF129E" w:rsidRDefault="008E0895" w:rsidP="000D1974">
            <w:pPr>
              <w:ind w:right="427"/>
              <w:rPr>
                <w:rFonts w:ascii="Arial" w:hAnsi="Arial" w:cs="Arial"/>
                <w:i/>
                <w:sz w:val="20"/>
                <w:szCs w:val="20"/>
                <w:lang w:eastAsia="hr-HR"/>
              </w:rPr>
            </w:pPr>
            <w:r w:rsidRPr="00EF129E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40.000,00</w:t>
            </w:r>
          </w:p>
        </w:tc>
      </w:tr>
    </w:tbl>
    <w:p w:rsidR="001F7198" w:rsidRPr="00EF129E" w:rsidRDefault="001F7198" w:rsidP="002504D1">
      <w:pPr>
        <w:spacing w:line="240" w:lineRule="auto"/>
        <w:jc w:val="both"/>
        <w:rPr>
          <w:rFonts w:ascii="Arial" w:hAnsi="Arial" w:cs="Arial"/>
          <w:lang w:val="hr-HR"/>
        </w:rPr>
      </w:pPr>
    </w:p>
    <w:p w:rsidR="001F7198" w:rsidRPr="00EF129E" w:rsidRDefault="001F7198" w:rsidP="002504D1">
      <w:pPr>
        <w:spacing w:line="240" w:lineRule="auto"/>
        <w:jc w:val="both"/>
        <w:rPr>
          <w:rFonts w:ascii="Arial" w:hAnsi="Arial" w:cs="Arial"/>
          <w:lang w:val="hr-HR"/>
        </w:rPr>
      </w:pPr>
    </w:p>
    <w:p w:rsidR="001F7198" w:rsidRPr="00EF129E" w:rsidRDefault="001F7198" w:rsidP="002504D1">
      <w:pPr>
        <w:spacing w:line="240" w:lineRule="auto"/>
        <w:jc w:val="both"/>
        <w:rPr>
          <w:rFonts w:ascii="Arial" w:hAnsi="Arial" w:cs="Arial"/>
          <w:lang w:val="hr-HR"/>
        </w:rPr>
      </w:pPr>
    </w:p>
    <w:p w:rsidR="001F7198" w:rsidRPr="00EF129E" w:rsidRDefault="001F7198" w:rsidP="002504D1">
      <w:pPr>
        <w:spacing w:line="240" w:lineRule="auto"/>
        <w:jc w:val="both"/>
        <w:rPr>
          <w:rFonts w:ascii="Arial" w:hAnsi="Arial" w:cs="Arial"/>
          <w:lang w:val="hr-HR"/>
        </w:rPr>
      </w:pPr>
    </w:p>
    <w:p w:rsidR="001F7198" w:rsidRPr="00EF129E" w:rsidRDefault="001F7198" w:rsidP="002504D1">
      <w:pPr>
        <w:spacing w:line="240" w:lineRule="auto"/>
        <w:jc w:val="both"/>
        <w:rPr>
          <w:rFonts w:ascii="Arial" w:hAnsi="Arial" w:cs="Arial"/>
          <w:lang w:val="hr-HR"/>
        </w:rPr>
      </w:pPr>
    </w:p>
    <w:p w:rsidR="001B2C14" w:rsidRPr="00EF129E" w:rsidRDefault="00AE1CD7" w:rsidP="002504D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hr-HR"/>
        </w:rPr>
      </w:pPr>
      <w:r w:rsidRPr="00EF129E">
        <w:rPr>
          <w:rFonts w:ascii="Arial" w:hAnsi="Arial" w:cs="Arial"/>
          <w:b/>
          <w:lang w:val="hr-HR"/>
        </w:rPr>
        <w:t xml:space="preserve">Napomene uz Nacrt prijedloga Odluke </w:t>
      </w:r>
    </w:p>
    <w:p w:rsidR="00A06051" w:rsidRPr="00EF129E" w:rsidRDefault="00680343" w:rsidP="001B2C14">
      <w:pPr>
        <w:spacing w:line="240" w:lineRule="auto"/>
        <w:jc w:val="both"/>
        <w:rPr>
          <w:rFonts w:ascii="Arial" w:hAnsi="Arial" w:cs="Arial"/>
          <w:lang w:val="hr-HR"/>
        </w:rPr>
      </w:pPr>
      <w:r w:rsidRPr="00EF129E">
        <w:rPr>
          <w:rFonts w:ascii="Arial" w:hAnsi="Arial" w:cs="Arial"/>
          <w:lang w:val="hr-HR"/>
        </w:rPr>
        <w:t>P</w:t>
      </w:r>
      <w:r w:rsidR="00AE1CD7" w:rsidRPr="00EF129E">
        <w:rPr>
          <w:rFonts w:ascii="Arial" w:hAnsi="Arial" w:cs="Arial"/>
          <w:lang w:val="hr-HR"/>
        </w:rPr>
        <w:t xml:space="preserve">ripremljen je </w:t>
      </w:r>
      <w:r w:rsidR="00EF129E">
        <w:rPr>
          <w:rFonts w:ascii="Arial" w:hAnsi="Arial" w:cs="Arial"/>
          <w:lang w:val="hr-HR"/>
        </w:rPr>
        <w:t>prijedlog</w:t>
      </w:r>
      <w:r w:rsidR="00AE1CD7" w:rsidRPr="00EF129E">
        <w:rPr>
          <w:rFonts w:ascii="Arial" w:hAnsi="Arial" w:cs="Arial"/>
          <w:lang w:val="hr-HR"/>
        </w:rPr>
        <w:t xml:space="preserve"> Odluke o </w:t>
      </w:r>
      <w:r w:rsidR="001B2C14" w:rsidRPr="00EF129E">
        <w:rPr>
          <w:rFonts w:ascii="Arial" w:hAnsi="Arial" w:cs="Arial"/>
          <w:lang w:val="hr-HR"/>
        </w:rPr>
        <w:t>visini turističke pristojbe za brodove na kružnom putovanju u međunarodnom pomorskom prometu kada se brod nalazi na vezu u luci ili sidrištu luke na području Grada Zadra</w:t>
      </w:r>
      <w:r w:rsidR="008E0895" w:rsidRPr="00EF129E">
        <w:rPr>
          <w:rFonts w:ascii="Arial" w:hAnsi="Arial" w:cs="Arial"/>
          <w:lang w:val="hr-HR"/>
        </w:rPr>
        <w:t xml:space="preserve"> za 202</w:t>
      </w:r>
      <w:r w:rsidR="00947BE4" w:rsidRPr="00EF129E">
        <w:rPr>
          <w:rFonts w:ascii="Arial" w:hAnsi="Arial" w:cs="Arial"/>
          <w:lang w:val="hr-HR"/>
        </w:rPr>
        <w:t>4</w:t>
      </w:r>
      <w:r w:rsidR="008E0895" w:rsidRPr="00EF129E">
        <w:rPr>
          <w:rFonts w:ascii="Arial" w:hAnsi="Arial" w:cs="Arial"/>
          <w:lang w:val="hr-HR"/>
        </w:rPr>
        <w:t>. godinu</w:t>
      </w:r>
      <w:r w:rsidR="00AE1CD7" w:rsidRPr="00EF129E">
        <w:rPr>
          <w:rFonts w:ascii="Arial" w:hAnsi="Arial" w:cs="Arial"/>
          <w:lang w:val="hr-HR"/>
        </w:rPr>
        <w:t xml:space="preserve">, na način da </w:t>
      </w:r>
      <w:r w:rsidR="00D12008" w:rsidRPr="00EF129E">
        <w:rPr>
          <w:rFonts w:ascii="Arial" w:hAnsi="Arial" w:cs="Arial"/>
          <w:lang w:val="hr-HR"/>
        </w:rPr>
        <w:t xml:space="preserve">se </w:t>
      </w:r>
      <w:r w:rsidR="00B01136" w:rsidRPr="00EF129E">
        <w:rPr>
          <w:rFonts w:ascii="Arial" w:hAnsi="Arial" w:cs="Arial"/>
          <w:lang w:val="hr-HR"/>
        </w:rPr>
        <w:t xml:space="preserve">predlaže da </w:t>
      </w:r>
      <w:r w:rsidR="00331017" w:rsidRPr="00EF129E">
        <w:rPr>
          <w:rFonts w:ascii="Arial" w:hAnsi="Arial" w:cs="Arial"/>
          <w:lang w:val="hr-HR"/>
        </w:rPr>
        <w:t xml:space="preserve">se turistička pristojba ne </w:t>
      </w:r>
      <w:r w:rsidR="00E84106" w:rsidRPr="00EF129E">
        <w:rPr>
          <w:rFonts w:ascii="Arial" w:hAnsi="Arial" w:cs="Arial"/>
          <w:lang w:val="hr-HR"/>
        </w:rPr>
        <w:t>propiše</w:t>
      </w:r>
      <w:r w:rsidR="00EE345C" w:rsidRPr="00EF129E">
        <w:rPr>
          <w:rFonts w:ascii="Arial" w:hAnsi="Arial" w:cs="Arial"/>
          <w:lang w:val="hr-HR"/>
        </w:rPr>
        <w:t xml:space="preserve"> za Putničku l</w:t>
      </w:r>
      <w:r w:rsidR="00A06051" w:rsidRPr="00EF129E">
        <w:rPr>
          <w:rFonts w:ascii="Arial" w:hAnsi="Arial" w:cs="Arial"/>
          <w:lang w:val="hr-HR"/>
        </w:rPr>
        <w:t>uku Gaženica</w:t>
      </w:r>
      <w:r w:rsidR="00331017" w:rsidRPr="00EF129E">
        <w:rPr>
          <w:rFonts w:ascii="Arial" w:hAnsi="Arial" w:cs="Arial"/>
          <w:lang w:val="hr-HR"/>
        </w:rPr>
        <w:t xml:space="preserve"> </w:t>
      </w:r>
      <w:r w:rsidR="00A06051" w:rsidRPr="00EF129E">
        <w:rPr>
          <w:rFonts w:ascii="Arial" w:hAnsi="Arial" w:cs="Arial"/>
          <w:lang w:val="hr-HR"/>
        </w:rPr>
        <w:t>radi zadržavanja određene cijenovne razine konkurentnosti Putničke luke Gaženica u odnosu na susjedne cruising destinacije</w:t>
      </w:r>
      <w:r w:rsidR="000E02B4" w:rsidRPr="00EF129E">
        <w:rPr>
          <w:rFonts w:ascii="Arial" w:hAnsi="Arial" w:cs="Arial"/>
          <w:lang w:val="hr-HR"/>
        </w:rPr>
        <w:t xml:space="preserve">, te da </w:t>
      </w:r>
      <w:r w:rsidR="00A06051" w:rsidRPr="00EF129E">
        <w:rPr>
          <w:rFonts w:ascii="Arial" w:hAnsi="Arial" w:cs="Arial"/>
          <w:lang w:val="hr-HR"/>
        </w:rPr>
        <w:t xml:space="preserve">se za </w:t>
      </w:r>
      <w:r w:rsidR="00EE345C" w:rsidRPr="00EF129E">
        <w:rPr>
          <w:rFonts w:ascii="Arial" w:hAnsi="Arial" w:cs="Arial"/>
          <w:lang w:val="hr-HR"/>
        </w:rPr>
        <w:t>Putničku</w:t>
      </w:r>
      <w:r w:rsidR="00A06051" w:rsidRPr="00EF129E">
        <w:rPr>
          <w:rFonts w:ascii="Arial" w:hAnsi="Arial" w:cs="Arial"/>
          <w:lang w:val="hr-HR"/>
        </w:rPr>
        <w:t xml:space="preserve"> luku Zadar (</w:t>
      </w:r>
      <w:r w:rsidR="00EE345C" w:rsidRPr="00EF129E">
        <w:rPr>
          <w:rFonts w:ascii="Arial" w:hAnsi="Arial" w:cs="Arial"/>
          <w:lang w:val="hr-HR"/>
        </w:rPr>
        <w:t>Poluotok</w:t>
      </w:r>
      <w:r w:rsidR="00A06051" w:rsidRPr="00EF129E">
        <w:rPr>
          <w:rFonts w:ascii="Arial" w:hAnsi="Arial" w:cs="Arial"/>
          <w:lang w:val="hr-HR"/>
        </w:rPr>
        <w:t>) propiše najviši zakonski dopušteni iznos turističke pristojbe po brodu, jer se radi o elitnoj gradskoj lokaciji.</w:t>
      </w:r>
    </w:p>
    <w:p w:rsidR="00947BE4" w:rsidRPr="00EF129E" w:rsidRDefault="00D84557" w:rsidP="00763F11">
      <w:pPr>
        <w:spacing w:line="240" w:lineRule="auto"/>
        <w:jc w:val="both"/>
        <w:rPr>
          <w:rFonts w:ascii="Arial" w:hAnsi="Arial" w:cs="Arial"/>
          <w:lang w:val="hr-HR"/>
        </w:rPr>
      </w:pPr>
      <w:r w:rsidRPr="00EF129E">
        <w:rPr>
          <w:rFonts w:ascii="Arial" w:hAnsi="Arial" w:cs="Arial"/>
          <w:lang w:val="hr-HR"/>
        </w:rPr>
        <w:t xml:space="preserve">Zbog iznimne važnosti ove Odluke na razvoj i održivost </w:t>
      </w:r>
      <w:r w:rsidR="004A410D" w:rsidRPr="00EF129E">
        <w:rPr>
          <w:rFonts w:ascii="Arial" w:hAnsi="Arial" w:cs="Arial"/>
          <w:lang w:val="hr-HR"/>
        </w:rPr>
        <w:t xml:space="preserve">kruzing </w:t>
      </w:r>
      <w:r w:rsidRPr="00EF129E">
        <w:rPr>
          <w:rFonts w:ascii="Arial" w:hAnsi="Arial" w:cs="Arial"/>
          <w:lang w:val="hr-HR"/>
        </w:rPr>
        <w:t>turizma</w:t>
      </w:r>
      <w:r w:rsidR="004A410D" w:rsidRPr="00EF129E">
        <w:rPr>
          <w:rFonts w:ascii="Arial" w:hAnsi="Arial" w:cs="Arial"/>
          <w:lang w:val="hr-HR"/>
        </w:rPr>
        <w:t xml:space="preserve"> i turizma općenito </w:t>
      </w:r>
      <w:r w:rsidRPr="00EF129E">
        <w:rPr>
          <w:rFonts w:ascii="Arial" w:hAnsi="Arial" w:cs="Arial"/>
          <w:lang w:val="hr-HR"/>
        </w:rPr>
        <w:t>na području Grada Zadra, a u</w:t>
      </w:r>
      <w:r w:rsidR="00361D77" w:rsidRPr="00EF129E">
        <w:rPr>
          <w:rFonts w:ascii="Arial" w:hAnsi="Arial" w:cs="Arial"/>
          <w:lang w:val="hr-HR"/>
        </w:rPr>
        <w:t xml:space="preserve"> cilju d</w:t>
      </w:r>
      <w:r w:rsidR="00653EFE" w:rsidRPr="00EF129E">
        <w:rPr>
          <w:rFonts w:ascii="Arial" w:hAnsi="Arial" w:cs="Arial"/>
          <w:lang w:val="hr-HR"/>
        </w:rPr>
        <w:t>onošenja što kvalitetnijeg akta, prije samog upućivanja iste na donošenje Gradskom vijeću Grada Zadra, predlaže se provođenje široke javne rasprave uključujući i javno savjetova</w:t>
      </w:r>
      <w:r w:rsidR="00947BE4" w:rsidRPr="00EF129E">
        <w:rPr>
          <w:rFonts w:ascii="Arial" w:hAnsi="Arial" w:cs="Arial"/>
          <w:lang w:val="hr-HR"/>
        </w:rPr>
        <w:t xml:space="preserve">nje sa zainteresiranom javnošću </w:t>
      </w:r>
      <w:r w:rsidR="00947BE4" w:rsidRPr="00EF129E">
        <w:rPr>
          <w:rFonts w:ascii="Arial" w:hAnsi="Arial" w:cs="Arial"/>
        </w:rPr>
        <w:t xml:space="preserve">temeljem članka 11. Zakona o pravu na pristup informacijama </w:t>
      </w:r>
      <w:r w:rsidR="00EF129E" w:rsidRPr="00EF129E">
        <w:rPr>
          <w:rFonts w:ascii="Arial" w:hAnsi="Arial" w:cs="Arial"/>
          <w:i/>
          <w:lang w:val="hr-HR"/>
        </w:rPr>
        <w:t xml:space="preserve">(„Narodne novine", </w:t>
      </w:r>
      <w:r w:rsidR="00947BE4" w:rsidRPr="00EF129E">
        <w:rPr>
          <w:rFonts w:ascii="Arial" w:hAnsi="Arial" w:cs="Arial"/>
          <w:i/>
        </w:rPr>
        <w:t>br. 25/13, 85/15 i 69/22)</w:t>
      </w:r>
      <w:r w:rsidR="00947BE4" w:rsidRPr="00EF129E">
        <w:rPr>
          <w:rFonts w:ascii="Arial" w:hAnsi="Arial" w:cs="Arial"/>
        </w:rPr>
        <w:t>.</w:t>
      </w:r>
    </w:p>
    <w:p w:rsidR="00947BE4" w:rsidRDefault="009509EB" w:rsidP="009509EB">
      <w:pPr>
        <w:spacing w:after="0" w:line="240" w:lineRule="auto"/>
        <w:ind w:left="2160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v.d. PROČELNIKA</w:t>
      </w:r>
    </w:p>
    <w:p w:rsidR="009509EB" w:rsidRDefault="009509EB" w:rsidP="009509EB">
      <w:pPr>
        <w:spacing w:after="0" w:line="240" w:lineRule="auto"/>
        <w:ind w:left="2160"/>
        <w:jc w:val="right"/>
        <w:rPr>
          <w:rFonts w:ascii="Arial" w:hAnsi="Arial" w:cs="Arial"/>
          <w:b/>
          <w:iCs/>
        </w:rPr>
      </w:pPr>
    </w:p>
    <w:p w:rsidR="009509EB" w:rsidRPr="00EF129E" w:rsidRDefault="00246AC8" w:rsidP="009509EB">
      <w:pPr>
        <w:spacing w:after="0" w:line="240" w:lineRule="auto"/>
        <w:ind w:left="2160"/>
        <w:jc w:val="righ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iCs/>
        </w:rPr>
        <w:t>Mate P</w:t>
      </w:r>
      <w:bookmarkStart w:id="0" w:name="_GoBack"/>
      <w:bookmarkEnd w:id="0"/>
      <w:r w:rsidR="009509EB">
        <w:rPr>
          <w:rFonts w:ascii="Arial" w:hAnsi="Arial" w:cs="Arial"/>
          <w:b/>
          <w:iCs/>
        </w:rPr>
        <w:t>inčić, dipl. oec</w:t>
      </w:r>
    </w:p>
    <w:p w:rsidR="009960BC" w:rsidRPr="009509EB" w:rsidRDefault="00947BE4" w:rsidP="009509EB">
      <w:pPr>
        <w:spacing w:after="0" w:line="240" w:lineRule="auto"/>
        <w:jc w:val="both"/>
        <w:rPr>
          <w:rFonts w:ascii="Arial" w:hAnsi="Arial" w:cs="Arial"/>
          <w:i/>
          <w:sz w:val="20"/>
          <w:lang w:val="hr-HR"/>
        </w:rPr>
      </w:pPr>
      <w:r w:rsidRPr="00EF129E">
        <w:rPr>
          <w:rFonts w:ascii="Arial" w:hAnsi="Arial" w:cs="Arial"/>
          <w:b/>
          <w:sz w:val="20"/>
          <w:lang w:val="hr-HR"/>
        </w:rPr>
        <w:t xml:space="preserve">                                                           </w:t>
      </w:r>
      <w:r w:rsidR="009509EB">
        <w:rPr>
          <w:rFonts w:ascii="Arial" w:hAnsi="Arial" w:cs="Arial"/>
          <w:b/>
          <w:sz w:val="20"/>
          <w:lang w:val="hr-HR"/>
        </w:rPr>
        <w:t xml:space="preserve">                               </w:t>
      </w:r>
    </w:p>
    <w:sectPr w:rsidR="009960BC" w:rsidRPr="009509EB" w:rsidSect="006B0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8F3"/>
    <w:multiLevelType w:val="hybridMultilevel"/>
    <w:tmpl w:val="844AA6EA"/>
    <w:lvl w:ilvl="0" w:tplc="A2C6F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96C8E"/>
    <w:rsid w:val="00030F1B"/>
    <w:rsid w:val="00043076"/>
    <w:rsid w:val="000608C0"/>
    <w:rsid w:val="00062B8B"/>
    <w:rsid w:val="00065310"/>
    <w:rsid w:val="00073C7F"/>
    <w:rsid w:val="00094669"/>
    <w:rsid w:val="000B0A40"/>
    <w:rsid w:val="000D1974"/>
    <w:rsid w:val="000E02B4"/>
    <w:rsid w:val="000E2211"/>
    <w:rsid w:val="000F4584"/>
    <w:rsid w:val="00111565"/>
    <w:rsid w:val="00141179"/>
    <w:rsid w:val="001429A0"/>
    <w:rsid w:val="00151104"/>
    <w:rsid w:val="00155ECB"/>
    <w:rsid w:val="00170341"/>
    <w:rsid w:val="00173DB4"/>
    <w:rsid w:val="001A0372"/>
    <w:rsid w:val="001B2C14"/>
    <w:rsid w:val="001B30A7"/>
    <w:rsid w:val="001D788B"/>
    <w:rsid w:val="001E04C2"/>
    <w:rsid w:val="001E4D02"/>
    <w:rsid w:val="001F2137"/>
    <w:rsid w:val="001F50C9"/>
    <w:rsid w:val="001F7198"/>
    <w:rsid w:val="00240F9F"/>
    <w:rsid w:val="00246AC8"/>
    <w:rsid w:val="002504D1"/>
    <w:rsid w:val="00260DC5"/>
    <w:rsid w:val="002679F9"/>
    <w:rsid w:val="00293D65"/>
    <w:rsid w:val="002B2C93"/>
    <w:rsid w:val="002B6CF2"/>
    <w:rsid w:val="002C0325"/>
    <w:rsid w:val="002C7305"/>
    <w:rsid w:val="00316AC3"/>
    <w:rsid w:val="0032227F"/>
    <w:rsid w:val="00331017"/>
    <w:rsid w:val="00361D77"/>
    <w:rsid w:val="0039365B"/>
    <w:rsid w:val="004075C8"/>
    <w:rsid w:val="00416DC3"/>
    <w:rsid w:val="00417063"/>
    <w:rsid w:val="00422B20"/>
    <w:rsid w:val="00427C4B"/>
    <w:rsid w:val="004304AB"/>
    <w:rsid w:val="00447DA8"/>
    <w:rsid w:val="0045691B"/>
    <w:rsid w:val="00471EDE"/>
    <w:rsid w:val="00481D51"/>
    <w:rsid w:val="004A410D"/>
    <w:rsid w:val="004A5E2B"/>
    <w:rsid w:val="004F7D67"/>
    <w:rsid w:val="00537EC8"/>
    <w:rsid w:val="00595837"/>
    <w:rsid w:val="00615AB7"/>
    <w:rsid w:val="00653EFE"/>
    <w:rsid w:val="00680343"/>
    <w:rsid w:val="006828DD"/>
    <w:rsid w:val="006B08FA"/>
    <w:rsid w:val="00704AB2"/>
    <w:rsid w:val="007200DA"/>
    <w:rsid w:val="00763F11"/>
    <w:rsid w:val="007A19F6"/>
    <w:rsid w:val="007B32DA"/>
    <w:rsid w:val="007C7929"/>
    <w:rsid w:val="007F0752"/>
    <w:rsid w:val="008157FE"/>
    <w:rsid w:val="008560FA"/>
    <w:rsid w:val="0087318D"/>
    <w:rsid w:val="00884F32"/>
    <w:rsid w:val="008D08BE"/>
    <w:rsid w:val="008E0895"/>
    <w:rsid w:val="00947BE4"/>
    <w:rsid w:val="009509EB"/>
    <w:rsid w:val="0098056C"/>
    <w:rsid w:val="009960BC"/>
    <w:rsid w:val="009968A9"/>
    <w:rsid w:val="009A7757"/>
    <w:rsid w:val="009C2FBF"/>
    <w:rsid w:val="009C60FC"/>
    <w:rsid w:val="009C7ACE"/>
    <w:rsid w:val="00A015C8"/>
    <w:rsid w:val="00A06051"/>
    <w:rsid w:val="00A06B74"/>
    <w:rsid w:val="00A24595"/>
    <w:rsid w:val="00A24963"/>
    <w:rsid w:val="00A371E4"/>
    <w:rsid w:val="00A42BC5"/>
    <w:rsid w:val="00A5625A"/>
    <w:rsid w:val="00A630CC"/>
    <w:rsid w:val="00AA267A"/>
    <w:rsid w:val="00AE02CC"/>
    <w:rsid w:val="00AE1CD7"/>
    <w:rsid w:val="00AE4708"/>
    <w:rsid w:val="00AF4D86"/>
    <w:rsid w:val="00B01136"/>
    <w:rsid w:val="00B04AAB"/>
    <w:rsid w:val="00B42763"/>
    <w:rsid w:val="00B4732F"/>
    <w:rsid w:val="00B53BCC"/>
    <w:rsid w:val="00B733B9"/>
    <w:rsid w:val="00B83D85"/>
    <w:rsid w:val="00B83FD0"/>
    <w:rsid w:val="00BE68C2"/>
    <w:rsid w:val="00C0009B"/>
    <w:rsid w:val="00C20C64"/>
    <w:rsid w:val="00C343F5"/>
    <w:rsid w:val="00C4695B"/>
    <w:rsid w:val="00C7598B"/>
    <w:rsid w:val="00C82875"/>
    <w:rsid w:val="00C96C8E"/>
    <w:rsid w:val="00CA08E4"/>
    <w:rsid w:val="00CA11EC"/>
    <w:rsid w:val="00CB47AD"/>
    <w:rsid w:val="00CF121C"/>
    <w:rsid w:val="00D06A36"/>
    <w:rsid w:val="00D12008"/>
    <w:rsid w:val="00D22B17"/>
    <w:rsid w:val="00D37648"/>
    <w:rsid w:val="00D51ADA"/>
    <w:rsid w:val="00D77608"/>
    <w:rsid w:val="00D77ED1"/>
    <w:rsid w:val="00D84557"/>
    <w:rsid w:val="00DD7237"/>
    <w:rsid w:val="00DE05EA"/>
    <w:rsid w:val="00DF5FC4"/>
    <w:rsid w:val="00E07446"/>
    <w:rsid w:val="00E610E1"/>
    <w:rsid w:val="00E77416"/>
    <w:rsid w:val="00E84106"/>
    <w:rsid w:val="00EA10BF"/>
    <w:rsid w:val="00EA4813"/>
    <w:rsid w:val="00EA4AD6"/>
    <w:rsid w:val="00ED4249"/>
    <w:rsid w:val="00EE345C"/>
    <w:rsid w:val="00EF129E"/>
    <w:rsid w:val="00EF1E34"/>
    <w:rsid w:val="00F02947"/>
    <w:rsid w:val="00F04D5A"/>
    <w:rsid w:val="00F0765E"/>
    <w:rsid w:val="00F076B5"/>
    <w:rsid w:val="00F56028"/>
    <w:rsid w:val="00FE5B06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E2B"/>
    <w:pPr>
      <w:ind w:left="720"/>
      <w:contextualSpacing/>
    </w:pPr>
  </w:style>
  <w:style w:type="table" w:customStyle="1" w:styleId="Reetkatablice1">
    <w:name w:val="Rešetka tablice1"/>
    <w:basedOn w:val="TableNormal"/>
    <w:uiPriority w:val="59"/>
    <w:rsid w:val="001F7198"/>
    <w:pPr>
      <w:spacing w:after="0" w:line="240" w:lineRule="auto"/>
      <w:jc w:val="center"/>
    </w:pPr>
    <w:rPr>
      <w:lang w:val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7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E04B-F352-4D48-AF0E-BE484959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Katić</dc:creator>
  <cp:lastModifiedBy>Mateja Kulaš</cp:lastModifiedBy>
  <cp:revision>99</cp:revision>
  <cp:lastPrinted>2018-11-02T08:42:00Z</cp:lastPrinted>
  <dcterms:created xsi:type="dcterms:W3CDTF">2018-10-17T10:26:00Z</dcterms:created>
  <dcterms:modified xsi:type="dcterms:W3CDTF">2022-10-17T12:25:00Z</dcterms:modified>
</cp:coreProperties>
</file>